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54D2D" w14:textId="77777777" w:rsidR="00F95D3C" w:rsidRPr="00B16A60" w:rsidRDefault="00F95D3C" w:rsidP="00F95D3C">
      <w:pPr>
        <w:pStyle w:val="Heading1"/>
        <w:pBdr>
          <w:bottom w:val="single" w:sz="4" w:space="1" w:color="156082" w:themeColor="accent1"/>
        </w:pBdr>
        <w:spacing w:before="400" w:after="40" w:line="276" w:lineRule="auto"/>
        <w:rPr>
          <w:rFonts w:ascii="Barlow" w:hAnsi="Barlow"/>
          <w:b/>
          <w:color w:val="0A2F41" w:themeColor="accent1" w:themeShade="80"/>
          <w:kern w:val="0"/>
          <w:sz w:val="36"/>
          <w:szCs w:val="36"/>
          <w:lang w:eastAsia="en-AU"/>
          <w14:ligatures w14:val="none"/>
        </w:rPr>
      </w:pPr>
      <w:r w:rsidRPr="00B16A60">
        <w:rPr>
          <w:rFonts w:ascii="Barlow" w:hAnsi="Barlow"/>
          <w:b/>
          <w:color w:val="0A2F41" w:themeColor="accent1" w:themeShade="80"/>
          <w:kern w:val="0"/>
          <w:sz w:val="36"/>
          <w:szCs w:val="36"/>
          <w:lang w:eastAsia="en-AU"/>
          <w14:ligatures w14:val="none"/>
        </w:rPr>
        <w:t>Blue Mountains</w:t>
      </w:r>
    </w:p>
    <w:p w14:paraId="625E9BF9" w14:textId="77777777" w:rsidR="00F95D3C" w:rsidRPr="00854956" w:rsidRDefault="00F95D3C" w:rsidP="00F95D3C">
      <w:pPr>
        <w:spacing w:line="276" w:lineRule="auto"/>
        <w:ind w:left="360"/>
        <w:rPr>
          <w:rFonts w:ascii="Barlow" w:hAnsi="Barlow"/>
          <w:vertAlign w:val="superscript"/>
        </w:rPr>
      </w:pPr>
      <w:r w:rsidRPr="00B16A60">
        <w:rPr>
          <w:rFonts w:ascii="Barlow" w:hAnsi="Barlow"/>
          <w:b/>
          <w:bCs/>
        </w:rPr>
        <w:t>Population</w:t>
      </w:r>
      <w:r w:rsidRPr="00B16A60">
        <w:rPr>
          <w:rFonts w:ascii="Barlow" w:hAnsi="Barlow"/>
        </w:rPr>
        <w:t>: 78,</w:t>
      </w:r>
      <w:r>
        <w:rPr>
          <w:rFonts w:ascii="Barlow" w:hAnsi="Barlow"/>
        </w:rPr>
        <w:t>446, 2.7% identify as Aboriginal and Torres Strait Islander. (2023)</w:t>
      </w:r>
      <w:r>
        <w:rPr>
          <w:rFonts w:ascii="Barlow" w:hAnsi="Barlow"/>
          <w:vertAlign w:val="superscript"/>
        </w:rPr>
        <w:t>13</w:t>
      </w:r>
    </w:p>
    <w:p w14:paraId="62929D7C" w14:textId="77777777" w:rsidR="00F95D3C" w:rsidRPr="00981B5C" w:rsidRDefault="00F95D3C" w:rsidP="00F95D3C">
      <w:pPr>
        <w:pStyle w:val="Heading2"/>
        <w:spacing w:line="276" w:lineRule="auto"/>
      </w:pPr>
      <w:r w:rsidRPr="00B16A60">
        <w:t>Health Needs</w:t>
      </w:r>
    </w:p>
    <w:p w14:paraId="2DB08BD1" w14:textId="2E07D5C3" w:rsidR="00F95D3C" w:rsidRPr="00854956" w:rsidRDefault="00F95D3C" w:rsidP="00F95D3C">
      <w:pPr>
        <w:ind w:left="360"/>
        <w:rPr>
          <w:vertAlign w:val="superscript"/>
        </w:rPr>
      </w:pPr>
      <w:r w:rsidRPr="0062070E">
        <w:rPr>
          <w:b/>
          <w:bCs/>
        </w:rPr>
        <w:t>Mental Health</w:t>
      </w:r>
      <w:r w:rsidRPr="0062070E">
        <w:t xml:space="preserve">: </w:t>
      </w:r>
      <w:r w:rsidRPr="0022523E">
        <w:t>High rates of anxiety, depression, and suicide risks are evident, with 3</w:t>
      </w:r>
      <w:r w:rsidR="00C566DA">
        <w:t>8</w:t>
      </w:r>
      <w:r w:rsidRPr="0022523E">
        <w:t xml:space="preserve">% of the </w:t>
      </w:r>
      <w:r w:rsidR="00C8137E">
        <w:t>NBMPHN region</w:t>
      </w:r>
      <w:r w:rsidRPr="0022523E">
        <w:t xml:space="preserve"> experiencing psychological distress and 12%</w:t>
      </w:r>
      <w:r w:rsidR="00C8137E">
        <w:t xml:space="preserve"> in the Blue Mountains reported to be</w:t>
      </w:r>
      <w:r w:rsidRPr="0022523E">
        <w:t xml:space="preserve"> living with a mental health condition, exceeding the NSW average of 8%.</w:t>
      </w:r>
      <w:r>
        <w:t xml:space="preserve"> (202</w:t>
      </w:r>
      <w:r w:rsidR="00E85E49">
        <w:t>1</w:t>
      </w:r>
      <w:r>
        <w:t>)</w:t>
      </w:r>
      <w:r>
        <w:rPr>
          <w:vertAlign w:val="superscript"/>
        </w:rPr>
        <w:t>11</w:t>
      </w:r>
    </w:p>
    <w:p w14:paraId="68F0AEBC" w14:textId="77777777" w:rsidR="00F95D3C" w:rsidRPr="00854956" w:rsidRDefault="00F95D3C" w:rsidP="00F95D3C">
      <w:pPr>
        <w:ind w:left="360"/>
        <w:rPr>
          <w:vertAlign w:val="superscript"/>
        </w:rPr>
      </w:pPr>
      <w:r w:rsidRPr="0062070E">
        <w:rPr>
          <w:b/>
          <w:bCs/>
        </w:rPr>
        <w:t>Chronic Conditions</w:t>
      </w:r>
      <w:r w:rsidRPr="0062070E">
        <w:t xml:space="preserve">: </w:t>
      </w:r>
      <w:r w:rsidRPr="0022523E">
        <w:t xml:space="preserve">Asthma (9.41%) and </w:t>
      </w:r>
      <w:r>
        <w:t>A</w:t>
      </w:r>
      <w:r w:rsidRPr="0022523E">
        <w:t>rthritis (10.47%) are notably higher than the state averages, indicating key areas of concern, heart disease (3.78%) is marginally above the NSW average of 3.74%.</w:t>
      </w:r>
      <w:r>
        <w:t xml:space="preserve"> (2021)</w:t>
      </w:r>
      <w:r>
        <w:rPr>
          <w:vertAlign w:val="superscript"/>
        </w:rPr>
        <w:t>6</w:t>
      </w:r>
    </w:p>
    <w:p w14:paraId="746C4C05" w14:textId="77777777" w:rsidR="00F95D3C" w:rsidRDefault="00F95D3C" w:rsidP="00F95D3C">
      <w:pPr>
        <w:ind w:left="360"/>
      </w:pPr>
      <w:r w:rsidRPr="0062070E">
        <w:rPr>
          <w:b/>
          <w:bCs/>
        </w:rPr>
        <w:t>Aged Care</w:t>
      </w:r>
      <w:r w:rsidRPr="0062070E">
        <w:t xml:space="preserve">: </w:t>
      </w:r>
      <w:r w:rsidRPr="0022523E">
        <w:t>There is a growing need for dementia and palliative care services due to an aging population, with 30% of residents over the age of 60—significantly higher than the NSW average of 23% for this age group.</w:t>
      </w:r>
      <w:r>
        <w:t xml:space="preserve"> (2021)</w:t>
      </w:r>
      <w:r>
        <w:rPr>
          <w:vertAlign w:val="superscript"/>
        </w:rPr>
        <w:t>17</w:t>
      </w:r>
      <w:r>
        <w:t xml:space="preserve"> </w:t>
      </w:r>
    </w:p>
    <w:p w14:paraId="79AD40F7" w14:textId="0F133719" w:rsidR="00F95D3C" w:rsidRPr="001E1232" w:rsidRDefault="00F95D3C" w:rsidP="00F95D3C">
      <w:pPr>
        <w:ind w:left="360"/>
        <w:rPr>
          <w:vertAlign w:val="superscript"/>
        </w:rPr>
      </w:pPr>
      <w:r>
        <w:rPr>
          <w:b/>
          <w:bCs/>
        </w:rPr>
        <w:t>Overweight and Obesity</w:t>
      </w:r>
      <w:r w:rsidRPr="001000F0">
        <w:t>:</w:t>
      </w:r>
      <w:r>
        <w:t xml:space="preserve"> Obesity in adults is greater than the NSW average (35.1% vs 34.7%). Deaths associated with Obesity and overweight are also greater than the NS</w:t>
      </w:r>
      <w:r w:rsidR="00C3660A">
        <w:t>W</w:t>
      </w:r>
      <w:r>
        <w:t xml:space="preserve"> average (41.5% vs 31.7%).</w:t>
      </w:r>
      <w:r>
        <w:rPr>
          <w:vertAlign w:val="superscript"/>
        </w:rPr>
        <w:t>2</w:t>
      </w:r>
    </w:p>
    <w:p w14:paraId="06A24C54" w14:textId="77777777" w:rsidR="00F95D3C" w:rsidRDefault="00F95D3C" w:rsidP="00F95D3C">
      <w:pPr>
        <w:pStyle w:val="Heading2"/>
        <w:spacing w:line="276" w:lineRule="auto"/>
      </w:pPr>
      <w:r w:rsidRPr="00B16A60">
        <w:t>Challenges</w:t>
      </w:r>
    </w:p>
    <w:p w14:paraId="1B56EB17" w14:textId="77777777" w:rsidR="00F95D3C" w:rsidRPr="00854956" w:rsidRDefault="00F95D3C" w:rsidP="00F95D3C">
      <w:pPr>
        <w:spacing w:line="276" w:lineRule="auto"/>
        <w:ind w:left="360"/>
        <w:rPr>
          <w:rFonts w:ascii="Barlow" w:hAnsi="Barlow"/>
          <w:vertAlign w:val="superscript"/>
        </w:rPr>
      </w:pPr>
      <w:r w:rsidRPr="00B16A60">
        <w:rPr>
          <w:rFonts w:ascii="Barlow" w:hAnsi="Barlow"/>
          <w:b/>
          <w:bCs/>
        </w:rPr>
        <w:t>Workforce Shortages</w:t>
      </w:r>
      <w:r>
        <w:rPr>
          <w:rFonts w:ascii="Barlow" w:hAnsi="Barlow"/>
        </w:rPr>
        <w:t xml:space="preserve">: </w:t>
      </w:r>
      <w:r w:rsidRPr="001362D9">
        <w:rPr>
          <w:rFonts w:ascii="Barlow" w:hAnsi="Barlow"/>
        </w:rPr>
        <w:t>Over 20% of GP full-time equivalents (FTEs) are 65+ years old, highlighting an aging workforce and recruitment challenges.</w:t>
      </w:r>
      <w:r>
        <w:rPr>
          <w:rFonts w:ascii="Barlow" w:hAnsi="Barlow"/>
          <w:vertAlign w:val="superscript"/>
        </w:rPr>
        <w:t>16</w:t>
      </w:r>
    </w:p>
    <w:p w14:paraId="70858A26" w14:textId="503BED15" w:rsidR="00F95D3C" w:rsidRPr="00AB2885" w:rsidRDefault="00F95D3C" w:rsidP="00F95D3C">
      <w:pPr>
        <w:spacing w:line="276" w:lineRule="auto"/>
        <w:ind w:left="360"/>
        <w:rPr>
          <w:rFonts w:ascii="Barlow" w:hAnsi="Barlow"/>
          <w:vertAlign w:val="superscript"/>
        </w:rPr>
      </w:pPr>
      <w:r w:rsidRPr="00E052D9">
        <w:rPr>
          <w:rFonts w:ascii="Barlow" w:hAnsi="Barlow"/>
          <w:b/>
          <w:bCs/>
        </w:rPr>
        <w:t>Transport Barriers:</w:t>
      </w:r>
      <w:r w:rsidRPr="00E052D9">
        <w:rPr>
          <w:rFonts w:ascii="Barlow" w:hAnsi="Barlow"/>
        </w:rPr>
        <w:t xml:space="preserve"> Limited public transport options restrict access to healthcare facilities, particularly for vulnerable populations.</w:t>
      </w:r>
      <w:r w:rsidR="00AB2885">
        <w:rPr>
          <w:rFonts w:ascii="Barlow" w:hAnsi="Barlow"/>
          <w:vertAlign w:val="superscript"/>
        </w:rPr>
        <w:t>15</w:t>
      </w:r>
    </w:p>
    <w:p w14:paraId="4E11C7DE" w14:textId="77777777" w:rsidR="00F95D3C" w:rsidRPr="00854956" w:rsidRDefault="00F95D3C" w:rsidP="00F95D3C">
      <w:pPr>
        <w:spacing w:line="276" w:lineRule="auto"/>
        <w:ind w:left="360"/>
        <w:rPr>
          <w:rFonts w:ascii="Barlow" w:hAnsi="Barlow"/>
          <w:vertAlign w:val="superscript"/>
        </w:rPr>
      </w:pPr>
      <w:r w:rsidRPr="00E052D9">
        <w:rPr>
          <w:rFonts w:ascii="Barlow" w:hAnsi="Barlow"/>
          <w:b/>
          <w:bCs/>
        </w:rPr>
        <w:t>Disaster Preparedness:</w:t>
      </w:r>
      <w:r w:rsidRPr="00E052D9">
        <w:rPr>
          <w:rFonts w:ascii="Barlow" w:hAnsi="Barlow"/>
        </w:rPr>
        <w:t xml:space="preserve"> Frequent bushfires and other natural disasters strain emergency healthcare</w:t>
      </w:r>
      <w:r>
        <w:rPr>
          <w:rFonts w:ascii="Barlow" w:hAnsi="Barlow"/>
        </w:rPr>
        <w:t xml:space="preserve"> services</w:t>
      </w:r>
      <w:r w:rsidRPr="00E052D9">
        <w:rPr>
          <w:rFonts w:ascii="Barlow" w:hAnsi="Barlow"/>
        </w:rPr>
        <w:t xml:space="preserve"> and increase</w:t>
      </w:r>
      <w:r>
        <w:rPr>
          <w:rFonts w:ascii="Barlow" w:hAnsi="Barlow"/>
        </w:rPr>
        <w:t xml:space="preserve"> the risk of</w:t>
      </w:r>
      <w:r w:rsidRPr="00E052D9">
        <w:rPr>
          <w:rFonts w:ascii="Barlow" w:hAnsi="Barlow"/>
        </w:rPr>
        <w:t xml:space="preserve"> mental health issues.</w:t>
      </w:r>
      <w:r>
        <w:rPr>
          <w:rFonts w:ascii="Barlow" w:hAnsi="Barlow"/>
          <w:vertAlign w:val="superscript"/>
        </w:rPr>
        <w:t>15</w:t>
      </w:r>
    </w:p>
    <w:p w14:paraId="1B2D776D" w14:textId="77777777" w:rsidR="00F95D3C" w:rsidRPr="00854956" w:rsidRDefault="00F95D3C" w:rsidP="00F95D3C">
      <w:pPr>
        <w:spacing w:line="276" w:lineRule="auto"/>
        <w:ind w:left="360"/>
        <w:rPr>
          <w:rFonts w:ascii="Barlow" w:hAnsi="Barlow"/>
          <w:vertAlign w:val="superscript"/>
        </w:rPr>
      </w:pPr>
      <w:r>
        <w:rPr>
          <w:rFonts w:ascii="Barlow" w:hAnsi="Barlow"/>
          <w:b/>
          <w:bCs/>
        </w:rPr>
        <w:t>Housing Affordability:</w:t>
      </w:r>
      <w:r>
        <w:rPr>
          <w:rFonts w:ascii="Barlow" w:hAnsi="Barlow"/>
        </w:rPr>
        <w:t xml:space="preserve"> 70% of the population do not find housing costs affordable. </w:t>
      </w:r>
      <w:r>
        <w:rPr>
          <w:rFonts w:ascii="Barlow" w:hAnsi="Barlow"/>
          <w:vertAlign w:val="superscript"/>
        </w:rPr>
        <w:t>10</w:t>
      </w:r>
    </w:p>
    <w:p w14:paraId="3A4B5A07" w14:textId="77777777" w:rsidR="00F95D3C" w:rsidRPr="00854956" w:rsidRDefault="00F95D3C" w:rsidP="00F95D3C">
      <w:pPr>
        <w:spacing w:line="276" w:lineRule="auto"/>
        <w:ind w:left="360"/>
        <w:rPr>
          <w:rFonts w:ascii="Barlow" w:hAnsi="Barlow"/>
          <w:vertAlign w:val="superscript"/>
        </w:rPr>
      </w:pPr>
      <w:r w:rsidRPr="00440D38">
        <w:rPr>
          <w:rFonts w:ascii="Barlow" w:hAnsi="Barlow"/>
          <w:b/>
          <w:bCs/>
        </w:rPr>
        <w:t>Digital Access:</w:t>
      </w:r>
      <w:r w:rsidRPr="00440D38">
        <w:rPr>
          <w:rFonts w:ascii="Barlow" w:hAnsi="Barlow"/>
        </w:rPr>
        <w:t xml:space="preserve"> </w:t>
      </w:r>
      <w:r w:rsidRPr="008A2989">
        <w:rPr>
          <w:rFonts w:ascii="Barlow" w:hAnsi="Barlow"/>
        </w:rPr>
        <w:t>The Blue Mountains has a digital inclusion score of 73.6, which is lower than the average for similarly aged populations in other WPC areas.</w:t>
      </w:r>
      <w:r>
        <w:rPr>
          <w:rFonts w:ascii="Barlow" w:hAnsi="Barlow"/>
        </w:rPr>
        <w:t xml:space="preserve"> </w:t>
      </w:r>
      <w:r w:rsidRPr="00440D38">
        <w:rPr>
          <w:rFonts w:ascii="Barlow" w:hAnsi="Barlow"/>
        </w:rPr>
        <w:t>Parts of the region face restricted connectivity due to mobile blackspots.</w:t>
      </w:r>
      <w:r>
        <w:rPr>
          <w:rFonts w:ascii="Barlow" w:hAnsi="Barlow"/>
          <w:vertAlign w:val="superscript"/>
        </w:rPr>
        <w:t>7</w:t>
      </w:r>
    </w:p>
    <w:p w14:paraId="77C998AE" w14:textId="77777777" w:rsidR="00F95D3C" w:rsidRDefault="00F95D3C" w:rsidP="00F95D3C">
      <w:pPr>
        <w:pStyle w:val="Heading2"/>
        <w:spacing w:line="276" w:lineRule="auto"/>
      </w:pPr>
      <w:r w:rsidRPr="00B16A60">
        <w:t>Behavioural Risk Factors (</w:t>
      </w:r>
      <w:r>
        <w:t xml:space="preserve">2023) </w:t>
      </w:r>
    </w:p>
    <w:p w14:paraId="0BF338C2" w14:textId="77777777" w:rsidR="00F95D3C" w:rsidRPr="00352B3C" w:rsidRDefault="00F95D3C" w:rsidP="00F95D3C">
      <w:pPr>
        <w:rPr>
          <w:vertAlign w:val="superscript"/>
        </w:rPr>
      </w:pPr>
      <w:r w:rsidRPr="00C4356D">
        <w:t xml:space="preserve">Residents of the Blue Mountains experience higher rates of risky alcohol consumption, alcohol-attributable hospitalizations, alcohol-attributable deaths, longer commuting distances, and a higher proportion of lone-person households compared to the NSW averages. </w:t>
      </w:r>
      <w:r>
        <w:t>Sm</w:t>
      </w:r>
      <w:r w:rsidRPr="00C4356D">
        <w:t>moking-attributable deaths, adequate fruit intake, experiences of discrimination, and youth disengagement are</w:t>
      </w:r>
      <w:r>
        <w:t xml:space="preserve"> aso significant factors that are</w:t>
      </w:r>
      <w:r w:rsidRPr="00C4356D">
        <w:t xml:space="preserve"> similar </w:t>
      </w:r>
      <w:r>
        <w:t xml:space="preserve">rates </w:t>
      </w:r>
      <w:r w:rsidRPr="00C4356D">
        <w:t>to the NSW average.</w:t>
      </w:r>
      <w:r>
        <w:rPr>
          <w:vertAlign w:val="superscript"/>
        </w:rPr>
        <w:t>20</w:t>
      </w:r>
    </w:p>
    <w:p w14:paraId="50E33260" w14:textId="77777777" w:rsidR="007709CF" w:rsidRDefault="007709CF" w:rsidP="00F95D3C"/>
    <w:p w14:paraId="13D2163D" w14:textId="77777777" w:rsidR="00B53B17" w:rsidRPr="00B53B17" w:rsidRDefault="00B53B17" w:rsidP="00B53B17"/>
    <w:sectPr w:rsidR="00B53B17" w:rsidRPr="00B53B17" w:rsidSect="00E374B1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AE232" w14:textId="77777777" w:rsidR="00904675" w:rsidRDefault="00904675" w:rsidP="00E374B1">
      <w:pPr>
        <w:spacing w:after="0" w:line="240" w:lineRule="auto"/>
      </w:pPr>
      <w:r>
        <w:separator/>
      </w:r>
    </w:p>
  </w:endnote>
  <w:endnote w:type="continuationSeparator" w:id="0">
    <w:p w14:paraId="29B1BC29" w14:textId="77777777" w:rsidR="00904675" w:rsidRDefault="00904675" w:rsidP="00E37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rlow">
    <w:panose1 w:val="00000500000000000000"/>
    <w:charset w:val="00"/>
    <w:family w:val="auto"/>
    <w:pitch w:val="variable"/>
    <w:sig w:usb0="20000007" w:usb1="00000000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27CA4" w14:textId="77777777" w:rsidR="003040E5" w:rsidRDefault="003040E5" w:rsidP="003040E5">
    <w:pPr>
      <w:pStyle w:val="Footer"/>
    </w:pPr>
    <w:r>
      <w:t>All data sources can be found here: WSHealthAlliance.NSW.gov.au/health-snapshots/</w:t>
    </w:r>
  </w:p>
  <w:p w14:paraId="669FD078" w14:textId="77777777" w:rsidR="00E374B1" w:rsidRDefault="00E374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E5357" w14:textId="77777777" w:rsidR="00904675" w:rsidRDefault="00904675" w:rsidP="00E374B1">
      <w:pPr>
        <w:spacing w:after="0" w:line="240" w:lineRule="auto"/>
      </w:pPr>
      <w:r>
        <w:separator/>
      </w:r>
    </w:p>
  </w:footnote>
  <w:footnote w:type="continuationSeparator" w:id="0">
    <w:p w14:paraId="03B197A2" w14:textId="77777777" w:rsidR="00904675" w:rsidRDefault="00904675" w:rsidP="00E37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132B0" w14:textId="275B635A" w:rsidR="00E374B1" w:rsidRDefault="00E374B1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D76316B" wp14:editId="62ABB726">
          <wp:simplePos x="0" y="0"/>
          <wp:positionH relativeFrom="column">
            <wp:posOffset>4421605</wp:posOffset>
          </wp:positionH>
          <wp:positionV relativeFrom="paragraph">
            <wp:posOffset>-313256</wp:posOffset>
          </wp:positionV>
          <wp:extent cx="2562225" cy="392221"/>
          <wp:effectExtent l="0" t="0" r="0" b="8255"/>
          <wp:wrapTight wrapText="bothSides">
            <wp:wrapPolygon edited="0">
              <wp:start x="0" y="0"/>
              <wp:lineTo x="0" y="21005"/>
              <wp:lineTo x="21359" y="21005"/>
              <wp:lineTo x="21359" y="0"/>
              <wp:lineTo x="0" y="0"/>
            </wp:wrapPolygon>
          </wp:wrapTight>
          <wp:docPr id="590732975" name="Picture 1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0732975" name="Picture 1" descr="A close up of a sig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2225" cy="392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BF4992"/>
    <w:multiLevelType w:val="hybridMultilevel"/>
    <w:tmpl w:val="372AD5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1553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9F0"/>
    <w:rsid w:val="000F09F0"/>
    <w:rsid w:val="00100468"/>
    <w:rsid w:val="003040E5"/>
    <w:rsid w:val="00383B91"/>
    <w:rsid w:val="003C1859"/>
    <w:rsid w:val="003D01F8"/>
    <w:rsid w:val="00411281"/>
    <w:rsid w:val="00446F3D"/>
    <w:rsid w:val="00481D3E"/>
    <w:rsid w:val="00521D9F"/>
    <w:rsid w:val="0055248F"/>
    <w:rsid w:val="005C6E07"/>
    <w:rsid w:val="00605CC2"/>
    <w:rsid w:val="00760B47"/>
    <w:rsid w:val="007709CF"/>
    <w:rsid w:val="00862E0D"/>
    <w:rsid w:val="008E6DD2"/>
    <w:rsid w:val="00904675"/>
    <w:rsid w:val="009176A2"/>
    <w:rsid w:val="00984A46"/>
    <w:rsid w:val="00A14960"/>
    <w:rsid w:val="00A15640"/>
    <w:rsid w:val="00AB2885"/>
    <w:rsid w:val="00AD4326"/>
    <w:rsid w:val="00B53B17"/>
    <w:rsid w:val="00BE7B42"/>
    <w:rsid w:val="00C145D8"/>
    <w:rsid w:val="00C173B7"/>
    <w:rsid w:val="00C3660A"/>
    <w:rsid w:val="00C566DA"/>
    <w:rsid w:val="00C8137E"/>
    <w:rsid w:val="00D46CF0"/>
    <w:rsid w:val="00E374B1"/>
    <w:rsid w:val="00E85E49"/>
    <w:rsid w:val="00F95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A1F9DB"/>
  <w15:chartTrackingRefBased/>
  <w15:docId w15:val="{965ACFDC-6111-4623-B899-9D8CF00A6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5D3C"/>
  </w:style>
  <w:style w:type="paragraph" w:styleId="Heading1">
    <w:name w:val="heading 1"/>
    <w:basedOn w:val="Normal"/>
    <w:next w:val="Normal"/>
    <w:link w:val="Heading1Char"/>
    <w:uiPriority w:val="9"/>
    <w:qFormat/>
    <w:rsid w:val="000F09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09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09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09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09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09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09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09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09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09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F09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09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09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09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09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09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09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09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09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09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09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09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09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09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09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09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09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09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09F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374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74B1"/>
  </w:style>
  <w:style w:type="paragraph" w:styleId="Footer">
    <w:name w:val="footer"/>
    <w:basedOn w:val="Normal"/>
    <w:link w:val="FooterChar"/>
    <w:uiPriority w:val="99"/>
    <w:unhideWhenUsed/>
    <w:rsid w:val="00E374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74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338</Words>
  <Characters>1927</Characters>
  <Application>Microsoft Office Word</Application>
  <DocSecurity>0</DocSecurity>
  <Lines>16</Lines>
  <Paragraphs>4</Paragraphs>
  <ScaleCrop>false</ScaleCrop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Gautami Motupally</dc:creator>
  <cp:keywords/>
  <dc:description/>
  <cp:lastModifiedBy>Gautami Motupally</cp:lastModifiedBy>
  <cp:revision>12</cp:revision>
  <dcterms:created xsi:type="dcterms:W3CDTF">2025-01-13T00:37:00Z</dcterms:created>
  <dcterms:modified xsi:type="dcterms:W3CDTF">2025-02-20T00:08:00Z</dcterms:modified>
</cp:coreProperties>
</file>