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0749" w14:textId="77777777" w:rsidR="00E45D16" w:rsidRPr="00BC558B" w:rsidRDefault="00E45D16" w:rsidP="00E45D16">
      <w:pPr>
        <w:pStyle w:val="Heading1"/>
        <w:pBdr>
          <w:bottom w:val="single" w:sz="4" w:space="1" w:color="156082" w:themeColor="accent1"/>
        </w:pBdr>
        <w:spacing w:before="400" w:after="40" w:line="276" w:lineRule="auto"/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</w:pPr>
      <w:bookmarkStart w:id="0" w:name="_Hlk190694110"/>
      <w:r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  <w:t>Liverpool</w:t>
      </w:r>
    </w:p>
    <w:p w14:paraId="0F184B9F" w14:textId="77777777" w:rsidR="00E45D16" w:rsidRPr="00854956" w:rsidRDefault="00E45D16" w:rsidP="00E45D16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Population</w:t>
      </w:r>
      <w:r w:rsidRPr="00B16A60">
        <w:rPr>
          <w:rFonts w:ascii="Barlow" w:hAnsi="Barlow"/>
        </w:rPr>
        <w:t xml:space="preserve">: </w:t>
      </w:r>
      <w:r>
        <w:rPr>
          <w:rFonts w:ascii="Barlow" w:hAnsi="Barlow"/>
        </w:rPr>
        <w:t>247,672</w:t>
      </w:r>
      <w:r w:rsidRPr="00B16A60">
        <w:rPr>
          <w:rFonts w:ascii="Barlow" w:hAnsi="Barlow"/>
        </w:rPr>
        <w:t xml:space="preserve">, with </w:t>
      </w:r>
      <w:r>
        <w:rPr>
          <w:rFonts w:ascii="Barlow" w:hAnsi="Barlow"/>
        </w:rPr>
        <w:t>49</w:t>
      </w:r>
      <w:r w:rsidRPr="00B16A60">
        <w:rPr>
          <w:rFonts w:ascii="Barlow" w:hAnsi="Barlow"/>
        </w:rPr>
        <w:t xml:space="preserve">% </w:t>
      </w:r>
      <w:r>
        <w:rPr>
          <w:rFonts w:ascii="Barlow" w:hAnsi="Barlow"/>
        </w:rPr>
        <w:t xml:space="preserve">of people were born overseas. </w:t>
      </w:r>
      <w:r w:rsidRPr="00B16A60">
        <w:rPr>
          <w:rFonts w:ascii="Barlow" w:hAnsi="Barlow" w:cs="Arial"/>
        </w:rPr>
        <w:t xml:space="preserve">Approximately </w:t>
      </w:r>
      <w:r>
        <w:rPr>
          <w:rFonts w:ascii="Barlow" w:hAnsi="Barlow" w:cs="Arial"/>
        </w:rPr>
        <w:t>40</w:t>
      </w:r>
      <w:r w:rsidRPr="00B16A60">
        <w:rPr>
          <w:rFonts w:ascii="Barlow" w:hAnsi="Barlow" w:cs="Arial"/>
        </w:rPr>
        <w:t>% of the population is under 1</w:t>
      </w:r>
      <w:r>
        <w:rPr>
          <w:rFonts w:ascii="Barlow" w:hAnsi="Barlow" w:cs="Arial"/>
        </w:rPr>
        <w:t xml:space="preserve">8 </w:t>
      </w:r>
      <w:r w:rsidRPr="00B16A60">
        <w:rPr>
          <w:rFonts w:ascii="Barlow" w:hAnsi="Barlow" w:cs="Arial"/>
        </w:rPr>
        <w:t>years old, reflecting a younger demographic compared to neighbouring LGAs</w:t>
      </w:r>
      <w:r>
        <w:rPr>
          <w:rFonts w:ascii="Barlow" w:hAnsi="Barlow" w:cs="Arial"/>
        </w:rPr>
        <w:t>. (2023)</w:t>
      </w:r>
      <w:r>
        <w:rPr>
          <w:rFonts w:ascii="Barlow" w:hAnsi="Barlow" w:cs="Arial"/>
          <w:vertAlign w:val="superscript"/>
        </w:rPr>
        <w:t>13</w:t>
      </w:r>
    </w:p>
    <w:p w14:paraId="3219CCE8" w14:textId="77777777" w:rsidR="00E45D16" w:rsidRPr="00B16A60" w:rsidRDefault="00E45D16" w:rsidP="00E45D16">
      <w:pPr>
        <w:pStyle w:val="Heading2"/>
        <w:spacing w:line="276" w:lineRule="auto"/>
      </w:pPr>
      <w:r w:rsidRPr="00B16A60">
        <w:t>Health Needs</w:t>
      </w:r>
    </w:p>
    <w:p w14:paraId="22D6B853" w14:textId="77777777" w:rsidR="00E45D16" w:rsidRPr="00854956" w:rsidRDefault="00E45D16" w:rsidP="00E45D16">
      <w:pPr>
        <w:ind w:left="360"/>
        <w:rPr>
          <w:vertAlign w:val="superscript"/>
        </w:rPr>
      </w:pPr>
      <w:r w:rsidRPr="0062070E">
        <w:rPr>
          <w:b/>
          <w:bCs/>
        </w:rPr>
        <w:t>Mental Health</w:t>
      </w:r>
      <w:r w:rsidRPr="0062070E">
        <w:t xml:space="preserve">: </w:t>
      </w:r>
      <w:r>
        <w:t>Liverpool h</w:t>
      </w:r>
      <w:r w:rsidRPr="00AC23B9">
        <w:t>ad the highest prevalence of moderate mental illness among residents in South Western Sydney in 2016, with a projected increase in demand for mental health services by 2026</w:t>
      </w:r>
      <w:r>
        <w:t>. (2024)</w:t>
      </w:r>
      <w:r>
        <w:rPr>
          <w:vertAlign w:val="superscript"/>
        </w:rPr>
        <w:t>11</w:t>
      </w:r>
    </w:p>
    <w:p w14:paraId="226A0C0A" w14:textId="77777777" w:rsidR="00E45D16" w:rsidRPr="00854956" w:rsidRDefault="00E45D16" w:rsidP="00E45D16">
      <w:pPr>
        <w:ind w:left="360"/>
        <w:rPr>
          <w:vertAlign w:val="superscript"/>
        </w:rPr>
      </w:pPr>
      <w:r w:rsidRPr="0062070E">
        <w:rPr>
          <w:b/>
          <w:bCs/>
        </w:rPr>
        <w:t>Chronic Diseases</w:t>
      </w:r>
      <w:r w:rsidRPr="0062070E">
        <w:t>:</w:t>
      </w:r>
      <w:r w:rsidRPr="007B1F88">
        <w:rPr>
          <w:b/>
          <w:bCs/>
        </w:rPr>
        <w:t xml:space="preserve"> </w:t>
      </w:r>
      <w:r w:rsidRPr="00AC23B9">
        <w:t>The prevalence of diabetes in Liverpool (5.42%) is significantly higher than the NSW average of 4.59%, resulting in higher rates of diabetes-related hospitalisations and deaths</w:t>
      </w:r>
      <w:r>
        <w:t>. (2021)</w:t>
      </w:r>
      <w:r>
        <w:rPr>
          <w:vertAlign w:val="superscript"/>
        </w:rPr>
        <w:t>6</w:t>
      </w:r>
    </w:p>
    <w:p w14:paraId="595CA4D6" w14:textId="77777777" w:rsidR="00E45D16" w:rsidRPr="00944273" w:rsidRDefault="00E45D16" w:rsidP="00E45D16">
      <w:pPr>
        <w:ind w:left="360"/>
        <w:rPr>
          <w:vertAlign w:val="superscript"/>
        </w:rPr>
      </w:pPr>
      <w:r w:rsidRPr="0062070E">
        <w:rPr>
          <w:b/>
          <w:bCs/>
        </w:rPr>
        <w:t>Domestic Violence</w:t>
      </w:r>
      <w:r w:rsidRPr="0062070E">
        <w:t xml:space="preserve">: </w:t>
      </w:r>
      <w:r w:rsidRPr="008A2989">
        <w:t>Liverpool has the highest number of incidents among LGAs, with 1,411 incidents and a rate of 588.5 per 100,000 (ranked 49th).</w:t>
      </w:r>
      <w:r>
        <w:t xml:space="preserve"> </w:t>
      </w:r>
      <w:r w:rsidRPr="0062070E">
        <w:t>Approximately 1 in 170 people experienced a DV incident, with a 4.2% annual increase over ten years.</w:t>
      </w:r>
      <w:r>
        <w:t xml:space="preserve"> (2024)</w:t>
      </w:r>
      <w:r>
        <w:rPr>
          <w:vertAlign w:val="superscript"/>
        </w:rPr>
        <w:t>8</w:t>
      </w:r>
    </w:p>
    <w:p w14:paraId="522C9157" w14:textId="081DBC03" w:rsidR="00E45D16" w:rsidRPr="00944273" w:rsidRDefault="00E45D16" w:rsidP="00E45D16">
      <w:pPr>
        <w:ind w:left="360"/>
        <w:rPr>
          <w:vertAlign w:val="superscript"/>
        </w:rPr>
      </w:pPr>
      <w:r w:rsidRPr="0020449F">
        <w:rPr>
          <w:b/>
          <w:bCs/>
        </w:rPr>
        <w:t xml:space="preserve">Cancer </w:t>
      </w:r>
      <w:r>
        <w:rPr>
          <w:b/>
          <w:bCs/>
        </w:rPr>
        <w:t xml:space="preserve">and </w:t>
      </w:r>
      <w:r w:rsidRPr="0020449F">
        <w:rPr>
          <w:b/>
          <w:bCs/>
        </w:rPr>
        <w:t>screening:</w:t>
      </w:r>
      <w:r>
        <w:t xml:space="preserve"> </w:t>
      </w:r>
      <w:r w:rsidRPr="00C23AC9">
        <w:t xml:space="preserve">On average </w:t>
      </w:r>
      <w:r>
        <w:t>7</w:t>
      </w:r>
      <w:r w:rsidRPr="00C23AC9">
        <w:t xml:space="preserve">% lower </w:t>
      </w:r>
      <w:r>
        <w:t xml:space="preserve">than NSW averages </w:t>
      </w:r>
      <w:r w:rsidRPr="00C23AC9">
        <w:t>across three major cancer screening domains - Bowel, Breast and Cervical cancer screening when compared to Australia</w:t>
      </w:r>
      <w:r>
        <w:t xml:space="preserve">. Liverpool </w:t>
      </w:r>
      <w:r w:rsidRPr="00AC23B9">
        <w:t>is projected to experience a 77% increase in cancer incidence by 203</w:t>
      </w:r>
      <w:r>
        <w:t>1. (2021)</w:t>
      </w:r>
      <w:r>
        <w:rPr>
          <w:vertAlign w:val="superscript"/>
        </w:rPr>
        <w:t>5</w:t>
      </w:r>
    </w:p>
    <w:p w14:paraId="12D08A27" w14:textId="77777777" w:rsidR="00E45D16" w:rsidRDefault="00E45D16" w:rsidP="00E45D16">
      <w:pPr>
        <w:pStyle w:val="Heading2"/>
        <w:spacing w:line="276" w:lineRule="auto"/>
      </w:pPr>
      <w:r w:rsidRPr="00B16A60">
        <w:t>Challenges</w:t>
      </w:r>
    </w:p>
    <w:p w14:paraId="6550C1F3" w14:textId="77777777" w:rsidR="00E45D16" w:rsidRPr="003F0758" w:rsidRDefault="00E45D16" w:rsidP="00E45D16">
      <w:pPr>
        <w:spacing w:line="276" w:lineRule="auto"/>
        <w:ind w:left="360"/>
        <w:rPr>
          <w:rFonts w:ascii="Barlow" w:hAnsi="Barlow"/>
          <w:vertAlign w:val="superscript"/>
        </w:rPr>
      </w:pPr>
      <w:r w:rsidRPr="00CE7CD7">
        <w:rPr>
          <w:rFonts w:ascii="Barlow" w:hAnsi="Barlow"/>
          <w:b/>
          <w:bCs/>
        </w:rPr>
        <w:t>Socio-Economic Disadvantage</w:t>
      </w:r>
      <w:r w:rsidRPr="00CE7CD7">
        <w:rPr>
          <w:rFonts w:ascii="Barlow" w:hAnsi="Barlow"/>
        </w:rPr>
        <w:t>: Index of Relative Socioeconomic Disadvantage score of 931 highlights significant challenges</w:t>
      </w:r>
      <w:r w:rsidRPr="00CE7CD7">
        <w:rPr>
          <w:rFonts w:ascii="Times New Roman" w:hAnsi="Times New Roman" w:cs="Times New Roman"/>
        </w:rPr>
        <w:t>​</w:t>
      </w:r>
      <w:r w:rsidRPr="00CE7CD7">
        <w:rPr>
          <w:rFonts w:ascii="Barlow" w:hAnsi="Barlow"/>
        </w:rPr>
        <w:t>.</w:t>
      </w:r>
      <w:r>
        <w:rPr>
          <w:rFonts w:ascii="Barlow" w:hAnsi="Barlow"/>
          <w:vertAlign w:val="superscript"/>
        </w:rPr>
        <w:t>19</w:t>
      </w:r>
    </w:p>
    <w:p w14:paraId="662D6190" w14:textId="77777777" w:rsidR="00E45D16" w:rsidRPr="00944273" w:rsidRDefault="00E45D16" w:rsidP="00E45D16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B16A60">
        <w:rPr>
          <w:rFonts w:ascii="Barlow" w:hAnsi="Barlow"/>
          <w:b/>
          <w:bCs/>
        </w:rPr>
        <w:t>Workforce Shortages</w:t>
      </w:r>
      <w:r>
        <w:rPr>
          <w:rFonts w:ascii="Barlow" w:hAnsi="Barlow"/>
        </w:rPr>
        <w:t xml:space="preserve">: </w:t>
      </w:r>
      <w:r w:rsidRPr="001362D9">
        <w:rPr>
          <w:rFonts w:ascii="Barlow" w:hAnsi="Barlow"/>
        </w:rPr>
        <w:t>Over 20% of GP full-time equivalents (FTEs) are 65+ years old,</w:t>
      </w:r>
      <w:r>
        <w:rPr>
          <w:rFonts w:ascii="Barlow" w:hAnsi="Barlow"/>
        </w:rPr>
        <w:t xml:space="preserve"> and the GP FTE to resident ratio is 1.1 per 1,000 this is below the NSW average</w:t>
      </w:r>
      <w:r w:rsidRPr="001362D9">
        <w:rPr>
          <w:rFonts w:ascii="Barlow" w:hAnsi="Barlow"/>
        </w:rPr>
        <w:t xml:space="preserve"> highlighting an aging workforce and recruitment challenges</w:t>
      </w:r>
      <w:r>
        <w:rPr>
          <w:rFonts w:ascii="Barlow" w:hAnsi="Barlow"/>
          <w:b/>
          <w:bCs/>
        </w:rPr>
        <w:t>.</w:t>
      </w:r>
      <w:r w:rsidRPr="00944273">
        <w:rPr>
          <w:rFonts w:ascii="Barlow" w:hAnsi="Barlow"/>
        </w:rPr>
        <w:t xml:space="preserve"> </w:t>
      </w:r>
      <w:r w:rsidRPr="00944273">
        <w:rPr>
          <w:rFonts w:ascii="Barlow" w:hAnsi="Barlow"/>
          <w:vertAlign w:val="superscript"/>
        </w:rPr>
        <w:t>16</w:t>
      </w:r>
    </w:p>
    <w:p w14:paraId="7604CCCB" w14:textId="12305F8A" w:rsidR="00E45D16" w:rsidRPr="0088297F" w:rsidRDefault="00E45D16" w:rsidP="00E45D16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5654E1">
        <w:rPr>
          <w:rFonts w:ascii="Barlow" w:hAnsi="Barlow"/>
          <w:b/>
          <w:bCs/>
        </w:rPr>
        <w:t>Housing and Homelessness:</w:t>
      </w:r>
      <w:r>
        <w:rPr>
          <w:rFonts w:ascii="Barlow" w:hAnsi="Barlow"/>
          <w:b/>
          <w:bCs/>
        </w:rPr>
        <w:t xml:space="preserve"> </w:t>
      </w:r>
      <w:r w:rsidRPr="0035568A">
        <w:rPr>
          <w:rFonts w:ascii="Barlow" w:hAnsi="Barlow"/>
        </w:rPr>
        <w:t xml:space="preserve">Expected waiting times for social housing are greater than 10 years for any kind of </w:t>
      </w:r>
      <w:r>
        <w:rPr>
          <w:rFonts w:ascii="Barlow" w:hAnsi="Barlow"/>
        </w:rPr>
        <w:t>property.</w:t>
      </w:r>
      <w:r w:rsidR="0088297F">
        <w:rPr>
          <w:rFonts w:ascii="Barlow" w:hAnsi="Barlow"/>
          <w:vertAlign w:val="superscript"/>
        </w:rPr>
        <w:t>3</w:t>
      </w:r>
    </w:p>
    <w:p w14:paraId="31316EC6" w14:textId="493B2CAE" w:rsidR="00E45D16" w:rsidRPr="00944273" w:rsidRDefault="00E45D16" w:rsidP="00E45D16">
      <w:pPr>
        <w:spacing w:line="276" w:lineRule="auto"/>
        <w:ind w:left="360"/>
        <w:rPr>
          <w:rFonts w:ascii="Barlow" w:hAnsi="Barlow"/>
          <w:vertAlign w:val="superscript"/>
        </w:rPr>
      </w:pPr>
      <w:r w:rsidRPr="0035568A">
        <w:rPr>
          <w:rFonts w:ascii="Barlow" w:hAnsi="Barlow"/>
          <w:b/>
          <w:bCs/>
        </w:rPr>
        <w:t xml:space="preserve">Language Barriers: </w:t>
      </w:r>
      <w:r w:rsidRPr="0035568A">
        <w:rPr>
          <w:rFonts w:ascii="Barlow" w:hAnsi="Barlow"/>
        </w:rPr>
        <w:t xml:space="preserve">Limited health literacy and the prevalence of non-English speaking populations increase the risk of poor access to health services. </w:t>
      </w:r>
      <w:r>
        <w:rPr>
          <w:rFonts w:ascii="Barlow" w:hAnsi="Barlow"/>
        </w:rPr>
        <w:t xml:space="preserve">Highlighting the need for interpreters, translated information and culturally appropriate care. </w:t>
      </w:r>
      <w:r>
        <w:rPr>
          <w:rFonts w:ascii="Barlow" w:hAnsi="Barlow"/>
          <w:vertAlign w:val="superscript"/>
        </w:rPr>
        <w:t>1</w:t>
      </w:r>
      <w:r w:rsidR="0088297F">
        <w:rPr>
          <w:rFonts w:ascii="Barlow" w:hAnsi="Barlow"/>
          <w:vertAlign w:val="superscript"/>
        </w:rPr>
        <w:t>7</w:t>
      </w:r>
    </w:p>
    <w:p w14:paraId="5073727A" w14:textId="77777777" w:rsidR="00E45D16" w:rsidRPr="00B16A60" w:rsidRDefault="00E45D16" w:rsidP="00E45D16">
      <w:pPr>
        <w:pStyle w:val="Heading2"/>
        <w:spacing w:line="276" w:lineRule="auto"/>
      </w:pPr>
      <w:r w:rsidRPr="00B16A60">
        <w:t xml:space="preserve">Behavioural Risk Factors </w:t>
      </w:r>
      <w:r>
        <w:t>(2023)</w:t>
      </w:r>
    </w:p>
    <w:p w14:paraId="77FB9646" w14:textId="77777777" w:rsidR="00E45D16" w:rsidRPr="00944273" w:rsidRDefault="00E45D16" w:rsidP="00E45D16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Smoking and Vaping: </w:t>
      </w:r>
      <w:r w:rsidRPr="000E00E3">
        <w:rPr>
          <w:rFonts w:ascii="Barlow" w:hAnsi="Barlow"/>
        </w:rPr>
        <w:t>Smoking (13.6%) and daily vaping (5.4%) exceed national averages (11.7% and 4.3%).</w:t>
      </w:r>
      <w:r>
        <w:rPr>
          <w:rFonts w:ascii="Barlow" w:hAnsi="Barlow"/>
          <w:vertAlign w:val="superscript"/>
        </w:rPr>
        <w:t>4</w:t>
      </w:r>
    </w:p>
    <w:p w14:paraId="09C0E11C" w14:textId="77777777" w:rsidR="00E45D16" w:rsidRPr="00944273" w:rsidRDefault="00E45D16" w:rsidP="00E45D16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Nutrition: </w:t>
      </w:r>
      <w:r w:rsidRPr="000E00E3">
        <w:rPr>
          <w:rFonts w:ascii="Barlow" w:hAnsi="Barlow"/>
        </w:rPr>
        <w:t>Adult fruit (37.1%) and vegetable (4.2%) intake improved but remain below national averages (37.8% and 5.3%). Children’s fruit (38%) and vegetable (3.5%) consumption declined, far below national averages (57.8% and 5.2%).</w:t>
      </w:r>
      <w:r>
        <w:rPr>
          <w:rFonts w:ascii="Barlow" w:hAnsi="Barlow"/>
          <w:vertAlign w:val="superscript"/>
        </w:rPr>
        <w:t>4</w:t>
      </w:r>
    </w:p>
    <w:bookmarkEnd w:id="0"/>
    <w:p w14:paraId="4788B561" w14:textId="77777777" w:rsidR="00E45D16" w:rsidRPr="00944273" w:rsidRDefault="00E45D16" w:rsidP="00E45D16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Physical Activity and Obesity: </w:t>
      </w:r>
      <w:r w:rsidRPr="000E00E3">
        <w:rPr>
          <w:rFonts w:ascii="Barlow" w:hAnsi="Barlow"/>
        </w:rPr>
        <w:t>Physical inactivity (40.9%) and obesity (66.1%) remain higher than national averages (35.5% and 59.4%).</w:t>
      </w:r>
      <w:r>
        <w:rPr>
          <w:rFonts w:ascii="Barlow" w:hAnsi="Barlow"/>
          <w:vertAlign w:val="superscript"/>
        </w:rPr>
        <w:t>4</w:t>
      </w:r>
    </w:p>
    <w:p w14:paraId="03FBB22A" w14:textId="77777777" w:rsidR="007709CF" w:rsidRDefault="007709CF"/>
    <w:sectPr w:rsidR="007709CF" w:rsidSect="00EB7467">
      <w:headerReference w:type="default" r:id="rId6"/>
      <w:footerReference w:type="default" r:id="rId7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5779" w14:textId="77777777" w:rsidR="000617AC" w:rsidRDefault="000617AC" w:rsidP="00E45D16">
      <w:pPr>
        <w:spacing w:after="0" w:line="240" w:lineRule="auto"/>
      </w:pPr>
      <w:r>
        <w:separator/>
      </w:r>
    </w:p>
  </w:endnote>
  <w:endnote w:type="continuationSeparator" w:id="0">
    <w:p w14:paraId="533A869F" w14:textId="77777777" w:rsidR="000617AC" w:rsidRDefault="000617AC" w:rsidP="00E4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771F" w14:textId="77777777" w:rsidR="00EB7467" w:rsidRDefault="00EB7467" w:rsidP="00EB7467">
    <w:pPr>
      <w:pStyle w:val="Footer"/>
    </w:pPr>
    <w:r>
      <w:t>All data sources can be found here: WSHealthAlliance.NSW.gov.au/health-snapshots/</w:t>
    </w:r>
  </w:p>
  <w:p w14:paraId="3AA2881E" w14:textId="77777777" w:rsidR="00EB7467" w:rsidRDefault="00EB7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6309" w14:textId="77777777" w:rsidR="000617AC" w:rsidRDefault="000617AC" w:rsidP="00E45D16">
      <w:pPr>
        <w:spacing w:after="0" w:line="240" w:lineRule="auto"/>
      </w:pPr>
      <w:r>
        <w:separator/>
      </w:r>
    </w:p>
  </w:footnote>
  <w:footnote w:type="continuationSeparator" w:id="0">
    <w:p w14:paraId="50D37FE5" w14:textId="77777777" w:rsidR="000617AC" w:rsidRDefault="000617AC" w:rsidP="00E4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0520" w14:textId="21DF0A61" w:rsidR="00E45D16" w:rsidRDefault="00E45D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DFB6A" wp14:editId="13B7C1CA">
          <wp:simplePos x="0" y="0"/>
          <wp:positionH relativeFrom="margin">
            <wp:posOffset>4596765</wp:posOffset>
          </wp:positionH>
          <wp:positionV relativeFrom="paragraph">
            <wp:posOffset>-297815</wp:posOffset>
          </wp:positionV>
          <wp:extent cx="2308225" cy="352425"/>
          <wp:effectExtent l="0" t="0" r="0" b="9525"/>
          <wp:wrapTight wrapText="bothSides">
            <wp:wrapPolygon edited="0">
              <wp:start x="0" y="0"/>
              <wp:lineTo x="0" y="21016"/>
              <wp:lineTo x="21392" y="21016"/>
              <wp:lineTo x="21392" y="0"/>
              <wp:lineTo x="0" y="0"/>
            </wp:wrapPolygon>
          </wp:wrapTight>
          <wp:docPr id="59073297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297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8"/>
    <w:rsid w:val="000617AC"/>
    <w:rsid w:val="000A037A"/>
    <w:rsid w:val="003919E6"/>
    <w:rsid w:val="003C1859"/>
    <w:rsid w:val="005C6E07"/>
    <w:rsid w:val="007709CF"/>
    <w:rsid w:val="0088297F"/>
    <w:rsid w:val="008E6DD2"/>
    <w:rsid w:val="00984A46"/>
    <w:rsid w:val="00B36411"/>
    <w:rsid w:val="00BE5B65"/>
    <w:rsid w:val="00D76BE8"/>
    <w:rsid w:val="00E45D16"/>
    <w:rsid w:val="00EB7467"/>
    <w:rsid w:val="00ED0228"/>
    <w:rsid w:val="00F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3C5DD"/>
  <w15:chartTrackingRefBased/>
  <w15:docId w15:val="{85AF4004-5B6D-40F5-8BD8-BC71F2C0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16"/>
  </w:style>
  <w:style w:type="paragraph" w:styleId="Heading1">
    <w:name w:val="heading 1"/>
    <w:basedOn w:val="Normal"/>
    <w:next w:val="Normal"/>
    <w:link w:val="Heading1Char"/>
    <w:uiPriority w:val="9"/>
    <w:qFormat/>
    <w:rsid w:val="00ED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2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6"/>
  </w:style>
  <w:style w:type="paragraph" w:styleId="Footer">
    <w:name w:val="footer"/>
    <w:basedOn w:val="Normal"/>
    <w:link w:val="FooterChar"/>
    <w:uiPriority w:val="99"/>
    <w:unhideWhenUsed/>
    <w:rsid w:val="00E4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5</cp:revision>
  <dcterms:created xsi:type="dcterms:W3CDTF">2025-02-17T03:15:00Z</dcterms:created>
  <dcterms:modified xsi:type="dcterms:W3CDTF">2025-02-17T03:58:00Z</dcterms:modified>
</cp:coreProperties>
</file>