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E91E4" w14:textId="77777777" w:rsidR="00E67679" w:rsidRPr="009963E6" w:rsidRDefault="00E67679" w:rsidP="00E67679">
      <w:pPr>
        <w:pStyle w:val="Heading1"/>
        <w:pBdr>
          <w:bottom w:val="single" w:sz="4" w:space="1" w:color="156082" w:themeColor="accent1"/>
        </w:pBdr>
        <w:spacing w:before="400" w:after="40" w:line="276" w:lineRule="auto"/>
        <w:rPr>
          <w:rFonts w:ascii="Barlow" w:hAnsi="Barlow"/>
          <w:b/>
          <w:color w:val="0A2F41" w:themeColor="accent1" w:themeShade="80"/>
          <w:kern w:val="0"/>
          <w:sz w:val="36"/>
          <w:szCs w:val="36"/>
          <w:lang w:eastAsia="en-AU"/>
          <w14:ligatures w14:val="none"/>
        </w:rPr>
      </w:pPr>
      <w:r w:rsidRPr="009963E6">
        <w:rPr>
          <w:rFonts w:ascii="Barlow" w:hAnsi="Barlow"/>
          <w:b/>
          <w:color w:val="0A2F41" w:themeColor="accent1" w:themeShade="80"/>
          <w:kern w:val="0"/>
          <w:sz w:val="36"/>
          <w:szCs w:val="36"/>
          <w:lang w:eastAsia="en-AU"/>
          <w14:ligatures w14:val="none"/>
        </w:rPr>
        <w:t>Penrith</w:t>
      </w:r>
    </w:p>
    <w:p w14:paraId="391FD376" w14:textId="77777777" w:rsidR="00E67679" w:rsidRPr="00854956" w:rsidRDefault="00E67679" w:rsidP="00E67679">
      <w:pPr>
        <w:spacing w:line="276" w:lineRule="auto"/>
        <w:ind w:left="360"/>
        <w:rPr>
          <w:rFonts w:ascii="Barlow" w:hAnsi="Barlow"/>
          <w:vertAlign w:val="superscript"/>
        </w:rPr>
      </w:pPr>
      <w:r w:rsidRPr="00B16A60">
        <w:rPr>
          <w:rFonts w:ascii="Barlow" w:hAnsi="Barlow"/>
          <w:b/>
          <w:bCs/>
        </w:rPr>
        <w:t>Population</w:t>
      </w:r>
      <w:r w:rsidRPr="00B16A60">
        <w:rPr>
          <w:rFonts w:ascii="Barlow" w:hAnsi="Barlow"/>
        </w:rPr>
        <w:t xml:space="preserve">: </w:t>
      </w:r>
      <w:r>
        <w:rPr>
          <w:rFonts w:ascii="Barlow" w:hAnsi="Barlow"/>
        </w:rPr>
        <w:t>224,483</w:t>
      </w:r>
      <w:r w:rsidRPr="00B16A60">
        <w:rPr>
          <w:rFonts w:ascii="Barlow" w:hAnsi="Barlow"/>
        </w:rPr>
        <w:t xml:space="preserve">; </w:t>
      </w:r>
      <w:r>
        <w:rPr>
          <w:rFonts w:ascii="Barlow" w:hAnsi="Barlow"/>
        </w:rPr>
        <w:t>5% Aboriginal and Torres Strait Islander population, 17.6</w:t>
      </w:r>
      <w:r w:rsidRPr="00B16A60">
        <w:rPr>
          <w:rFonts w:ascii="Barlow" w:hAnsi="Barlow"/>
        </w:rPr>
        <w:t>%</w:t>
      </w:r>
      <w:r>
        <w:rPr>
          <w:rFonts w:ascii="Barlow" w:hAnsi="Barlow"/>
        </w:rPr>
        <w:t xml:space="preserve"> of people</w:t>
      </w:r>
      <w:r w:rsidRPr="00B16A60">
        <w:rPr>
          <w:rFonts w:ascii="Barlow" w:hAnsi="Barlow"/>
        </w:rPr>
        <w:t xml:space="preserve"> born </w:t>
      </w:r>
      <w:r>
        <w:rPr>
          <w:rFonts w:ascii="Barlow" w:hAnsi="Barlow"/>
        </w:rPr>
        <w:t>overseas. (2023)</w:t>
      </w:r>
      <w:r>
        <w:rPr>
          <w:rFonts w:ascii="Barlow" w:hAnsi="Barlow"/>
          <w:vertAlign w:val="superscript"/>
        </w:rPr>
        <w:t>13</w:t>
      </w:r>
    </w:p>
    <w:p w14:paraId="1500249F" w14:textId="77777777" w:rsidR="00E67679" w:rsidRPr="00B16A60" w:rsidRDefault="00E67679" w:rsidP="00E67679">
      <w:pPr>
        <w:pStyle w:val="Heading2"/>
        <w:spacing w:line="276" w:lineRule="auto"/>
      </w:pPr>
      <w:r w:rsidRPr="00B16A60">
        <w:t>Health Needs</w:t>
      </w:r>
    </w:p>
    <w:p w14:paraId="41899791" w14:textId="77777777" w:rsidR="00E67679" w:rsidRPr="00854956" w:rsidRDefault="00E67679" w:rsidP="00E67679">
      <w:pPr>
        <w:ind w:left="360"/>
        <w:rPr>
          <w:vertAlign w:val="superscript"/>
        </w:rPr>
      </w:pPr>
      <w:r w:rsidRPr="0062070E">
        <w:rPr>
          <w:b/>
          <w:bCs/>
        </w:rPr>
        <w:t>Chronic Conditions</w:t>
      </w:r>
      <w:r w:rsidRPr="0062070E">
        <w:t xml:space="preserve">: </w:t>
      </w:r>
      <w:r w:rsidRPr="007B1F88">
        <w:t>Diabetes (5.55%) and Asthma (8.95%) are significantly higher than state averages, highlighting key areas of concern.</w:t>
      </w:r>
      <w:r>
        <w:t xml:space="preserve"> </w:t>
      </w:r>
      <w:r w:rsidRPr="007B1F88">
        <w:t>Stroke (2.99%) is slightly above the NSW average of 2.95%.</w:t>
      </w:r>
      <w:r>
        <w:t xml:space="preserve"> (2021)</w:t>
      </w:r>
      <w:r>
        <w:rPr>
          <w:vertAlign w:val="superscript"/>
        </w:rPr>
        <w:t>6</w:t>
      </w:r>
    </w:p>
    <w:p w14:paraId="56886B2B" w14:textId="42A05093" w:rsidR="00E67679" w:rsidRPr="00854956" w:rsidRDefault="00E67679" w:rsidP="00E67679">
      <w:pPr>
        <w:ind w:left="360"/>
        <w:rPr>
          <w:vertAlign w:val="superscript"/>
        </w:rPr>
      </w:pPr>
      <w:r w:rsidRPr="0062070E">
        <w:rPr>
          <w:b/>
          <w:bCs/>
        </w:rPr>
        <w:t>Mental Health</w:t>
      </w:r>
      <w:r w:rsidR="00F67EAC">
        <w:t>:</w:t>
      </w:r>
      <w:r>
        <w:t xml:space="preserve"> 43% of the population</w:t>
      </w:r>
      <w:r w:rsidR="00F67EAC">
        <w:t xml:space="preserve"> in the NBMPHN region</w:t>
      </w:r>
      <w:r>
        <w:t xml:space="preserve"> report high or moderate levels of psychological distress and 10%</w:t>
      </w:r>
      <w:r w:rsidR="00F67EAC">
        <w:t xml:space="preserve">  of the Penrith population</w:t>
      </w:r>
      <w:r>
        <w:t xml:space="preserve"> reported living with a mental health condition, greater than the NSW average 8%. (202</w:t>
      </w:r>
      <w:r w:rsidR="0023299C">
        <w:t>1</w:t>
      </w:r>
      <w:r>
        <w:t>)</w:t>
      </w:r>
      <w:r>
        <w:rPr>
          <w:vertAlign w:val="superscript"/>
        </w:rPr>
        <w:t>11</w:t>
      </w:r>
    </w:p>
    <w:p w14:paraId="4A843420" w14:textId="77777777" w:rsidR="00E67679" w:rsidRPr="00944273" w:rsidRDefault="00E67679" w:rsidP="00E67679">
      <w:pPr>
        <w:ind w:left="360"/>
        <w:rPr>
          <w:vertAlign w:val="superscript"/>
        </w:rPr>
      </w:pPr>
      <w:r w:rsidRPr="0062070E">
        <w:rPr>
          <w:b/>
          <w:bCs/>
        </w:rPr>
        <w:t>Domestic Violence</w:t>
      </w:r>
      <w:r w:rsidRPr="0062070E">
        <w:t>: A rate of 578.1 per 100,000 (ranked 51st) with 1,277 incidents. Approximately 1 in 170 people experienced a DV incident. The rate is 1.3 times the NSW average, with a 1.7% annual increase over ten years.</w:t>
      </w:r>
      <w:r>
        <w:t xml:space="preserve"> (2024)</w:t>
      </w:r>
      <w:r>
        <w:rPr>
          <w:vertAlign w:val="superscript"/>
        </w:rPr>
        <w:t>8</w:t>
      </w:r>
    </w:p>
    <w:p w14:paraId="4CD091DB" w14:textId="77777777" w:rsidR="00E67679" w:rsidRPr="00944273" w:rsidRDefault="00E67679" w:rsidP="00E67679">
      <w:pPr>
        <w:ind w:left="360"/>
        <w:rPr>
          <w:vertAlign w:val="superscript"/>
        </w:rPr>
      </w:pPr>
      <w:r w:rsidRPr="0020449F">
        <w:rPr>
          <w:b/>
          <w:bCs/>
        </w:rPr>
        <w:t>Cancer Screening:</w:t>
      </w:r>
      <w:r>
        <w:t xml:space="preserve"> </w:t>
      </w:r>
      <w:r w:rsidRPr="00061F3E">
        <w:t>10% lower screening rates for Cervical Cancer when compared to Australia wide Cervical screening</w:t>
      </w:r>
      <w:r>
        <w:t xml:space="preserve">. (2021) </w:t>
      </w:r>
      <w:r>
        <w:rPr>
          <w:vertAlign w:val="superscript"/>
        </w:rPr>
        <w:t>5</w:t>
      </w:r>
    </w:p>
    <w:p w14:paraId="78785D6A" w14:textId="77777777" w:rsidR="00E67679" w:rsidRPr="00B16A60" w:rsidRDefault="00E67679" w:rsidP="00E67679">
      <w:pPr>
        <w:pStyle w:val="Heading2"/>
        <w:spacing w:line="276" w:lineRule="auto"/>
      </w:pPr>
      <w:r w:rsidRPr="00B16A60">
        <w:t>Challenges</w:t>
      </w:r>
    </w:p>
    <w:p w14:paraId="3CA4AA10" w14:textId="77777777" w:rsidR="00E67679" w:rsidRPr="00944273" w:rsidRDefault="00E67679" w:rsidP="00E67679">
      <w:pPr>
        <w:spacing w:line="276" w:lineRule="auto"/>
        <w:ind w:left="360"/>
        <w:rPr>
          <w:rFonts w:ascii="Barlow" w:hAnsi="Barlow"/>
          <w:b/>
          <w:bCs/>
          <w:vertAlign w:val="superscript"/>
        </w:rPr>
      </w:pPr>
      <w:r w:rsidRPr="00B16A60">
        <w:rPr>
          <w:rFonts w:ascii="Barlow" w:hAnsi="Barlow"/>
          <w:b/>
          <w:bCs/>
        </w:rPr>
        <w:t>Workforce Shortages</w:t>
      </w:r>
      <w:r>
        <w:rPr>
          <w:rFonts w:ascii="Barlow" w:hAnsi="Barlow"/>
        </w:rPr>
        <w:t xml:space="preserve">: </w:t>
      </w:r>
      <w:r w:rsidRPr="001362D9">
        <w:rPr>
          <w:rFonts w:ascii="Barlow" w:hAnsi="Barlow"/>
        </w:rPr>
        <w:t>Over 20% of GP full-time equivalents (FTEs) are 65+ years old, highlighting an aging workforce and recruitment challenges</w:t>
      </w:r>
      <w:r w:rsidRPr="00944273">
        <w:rPr>
          <w:rFonts w:ascii="Barlow" w:hAnsi="Barlow"/>
        </w:rPr>
        <w:t>.</w:t>
      </w:r>
      <w:r w:rsidRPr="00944273">
        <w:rPr>
          <w:rFonts w:ascii="Barlow" w:hAnsi="Barlow"/>
          <w:vertAlign w:val="superscript"/>
        </w:rPr>
        <w:t>16</w:t>
      </w:r>
    </w:p>
    <w:p w14:paraId="141CF9B6" w14:textId="77777777" w:rsidR="00E67679" w:rsidRPr="00944273" w:rsidRDefault="00E67679" w:rsidP="00E67679">
      <w:pPr>
        <w:spacing w:line="276" w:lineRule="auto"/>
        <w:ind w:left="360"/>
        <w:rPr>
          <w:rFonts w:ascii="Barlow" w:hAnsi="Barlow"/>
          <w:vertAlign w:val="superscript"/>
        </w:rPr>
      </w:pPr>
      <w:r w:rsidRPr="004654C6">
        <w:rPr>
          <w:rFonts w:ascii="Barlow" w:hAnsi="Barlow"/>
          <w:b/>
          <w:bCs/>
        </w:rPr>
        <w:t>Cultural</w:t>
      </w:r>
      <w:r>
        <w:rPr>
          <w:rFonts w:ascii="Barlow" w:hAnsi="Barlow"/>
          <w:b/>
          <w:bCs/>
        </w:rPr>
        <w:t xml:space="preserve"> Barriers: </w:t>
      </w:r>
      <w:r w:rsidRPr="0035568A">
        <w:rPr>
          <w:rFonts w:ascii="Barlow" w:hAnsi="Barlow"/>
        </w:rPr>
        <w:t>Penrith LGA had the highest proportion of residents born overseas (23.3%) in the NBMPHN area with many</w:t>
      </w:r>
      <w:r>
        <w:rPr>
          <w:rFonts w:ascii="Barlow" w:hAnsi="Barlow"/>
        </w:rPr>
        <w:t xml:space="preserve"> </w:t>
      </w:r>
      <w:r w:rsidRPr="0035568A">
        <w:rPr>
          <w:rFonts w:ascii="Barlow" w:hAnsi="Barlow"/>
        </w:rPr>
        <w:t>reporting they 'speak English not well' or 'not at all</w:t>
      </w:r>
      <w:r>
        <w:rPr>
          <w:rFonts w:ascii="Barlow" w:hAnsi="Barlow"/>
        </w:rPr>
        <w:t>. These groups require tailored care, translated information and interpreters.</w:t>
      </w:r>
      <w:r>
        <w:rPr>
          <w:rFonts w:ascii="Barlow" w:hAnsi="Barlow"/>
          <w:vertAlign w:val="superscript"/>
        </w:rPr>
        <w:t>18</w:t>
      </w:r>
    </w:p>
    <w:p w14:paraId="60444B95" w14:textId="77777777" w:rsidR="00E67679" w:rsidRPr="003F0758" w:rsidRDefault="00E67679" w:rsidP="00E67679">
      <w:pPr>
        <w:spacing w:line="276" w:lineRule="auto"/>
        <w:ind w:left="360"/>
        <w:rPr>
          <w:rFonts w:ascii="Barlow" w:hAnsi="Barlow"/>
          <w:b/>
          <w:bCs/>
          <w:vertAlign w:val="superscript"/>
        </w:rPr>
      </w:pPr>
      <w:r w:rsidRPr="003F0758">
        <w:rPr>
          <w:rFonts w:ascii="Barlow" w:hAnsi="Barlow"/>
          <w:b/>
          <w:bCs/>
        </w:rPr>
        <w:t xml:space="preserve">Population growth: </w:t>
      </w:r>
      <w:r w:rsidRPr="003F0758">
        <w:rPr>
          <w:rFonts w:ascii="Barlow" w:hAnsi="Barlow"/>
        </w:rPr>
        <w:t>Penrith has the largest expected increase by 2041 for those aged 65+ (70.8%) in the NBM region.</w:t>
      </w:r>
      <w:r>
        <w:rPr>
          <w:rFonts w:ascii="Barlow" w:hAnsi="Barlow"/>
          <w:vertAlign w:val="superscript"/>
        </w:rPr>
        <w:t>18</w:t>
      </w:r>
    </w:p>
    <w:p w14:paraId="3714865F" w14:textId="77777777" w:rsidR="00E67679" w:rsidRPr="003F0758" w:rsidRDefault="00E67679" w:rsidP="00E67679">
      <w:pPr>
        <w:spacing w:line="276" w:lineRule="auto"/>
        <w:ind w:left="360"/>
        <w:rPr>
          <w:rFonts w:ascii="Barlow" w:hAnsi="Barlow"/>
          <w:b/>
          <w:bCs/>
          <w:vertAlign w:val="superscript"/>
        </w:rPr>
      </w:pPr>
      <w:r w:rsidRPr="003F0758">
        <w:rPr>
          <w:rFonts w:ascii="Barlow" w:hAnsi="Barlow"/>
          <w:b/>
          <w:bCs/>
        </w:rPr>
        <w:t xml:space="preserve">Socio-economic disadvantage: </w:t>
      </w:r>
      <w:r w:rsidRPr="003F0758">
        <w:rPr>
          <w:rFonts w:ascii="Barlow" w:hAnsi="Barlow"/>
        </w:rPr>
        <w:t>Poorest SEIFA scores in Penrith (991)</w:t>
      </w:r>
      <w:r>
        <w:rPr>
          <w:rFonts w:ascii="Barlow" w:hAnsi="Barlow"/>
        </w:rPr>
        <w:t xml:space="preserve"> for the NBMPHN region</w:t>
      </w:r>
      <w:r w:rsidRPr="003F0758">
        <w:rPr>
          <w:rFonts w:ascii="Barlow" w:hAnsi="Barlow"/>
        </w:rPr>
        <w:t>.</w:t>
      </w:r>
      <w:r>
        <w:rPr>
          <w:rFonts w:ascii="Barlow" w:hAnsi="Barlow"/>
          <w:vertAlign w:val="superscript"/>
        </w:rPr>
        <w:t>19</w:t>
      </w:r>
    </w:p>
    <w:p w14:paraId="2973ABED" w14:textId="77777777" w:rsidR="00E67679" w:rsidRPr="00B16A60" w:rsidRDefault="00E67679" w:rsidP="00E67679">
      <w:pPr>
        <w:pStyle w:val="Heading2"/>
        <w:spacing w:line="276" w:lineRule="auto"/>
      </w:pPr>
      <w:r w:rsidRPr="00B16A60">
        <w:t xml:space="preserve">Behavioural Risk Factors </w:t>
      </w:r>
      <w:r>
        <w:t>(2023)</w:t>
      </w:r>
    </w:p>
    <w:p w14:paraId="55976C87" w14:textId="77777777" w:rsidR="00E67679" w:rsidRPr="00EE3451" w:rsidRDefault="00E67679" w:rsidP="00A46FA9">
      <w:r w:rsidRPr="00EE3451">
        <w:t>In Penrith, alcohol-attributable deaths, adult smoking, maternal smoking, smoking-attributable deaths, low to no physical activity levels, reliance on the aged pension, early school departure, long commuting distances, high healthcare costs, and the proportion of developmentally vulnerable children are all worse compared to the NSW average.</w:t>
      </w:r>
    </w:p>
    <w:p w14:paraId="2D2B512F" w14:textId="77777777" w:rsidR="00E67679" w:rsidRPr="00352B3C" w:rsidRDefault="00E67679" w:rsidP="00A46FA9">
      <w:pPr>
        <w:rPr>
          <w:vertAlign w:val="superscript"/>
        </w:rPr>
      </w:pPr>
      <w:r w:rsidRPr="00EE3451">
        <w:t>Additionally, Penrith has higher healthcare costs, a greater proportion of developmentally vulnerable children, more smoking-attributable deaths, and lower physical activity levels compared to other LGAs within NBMLHD</w:t>
      </w:r>
      <w:r>
        <w:t>.</w:t>
      </w:r>
      <w:r>
        <w:rPr>
          <w:vertAlign w:val="superscript"/>
        </w:rPr>
        <w:t>20</w:t>
      </w:r>
    </w:p>
    <w:p w14:paraId="24CDF400" w14:textId="77777777" w:rsidR="007709CF" w:rsidRDefault="007709CF"/>
    <w:sectPr w:rsidR="007709CF" w:rsidSect="00E67679">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EBBBB" w14:textId="77777777" w:rsidR="00325027" w:rsidRDefault="00325027" w:rsidP="00E67679">
      <w:pPr>
        <w:spacing w:after="0" w:line="240" w:lineRule="auto"/>
      </w:pPr>
      <w:r>
        <w:separator/>
      </w:r>
    </w:p>
  </w:endnote>
  <w:endnote w:type="continuationSeparator" w:id="0">
    <w:p w14:paraId="0DF64429" w14:textId="77777777" w:rsidR="00325027" w:rsidRDefault="00325027" w:rsidP="00E67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rlow">
    <w:panose1 w:val="00000500000000000000"/>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DDE9" w14:textId="77777777" w:rsidR="00571801" w:rsidRDefault="00571801" w:rsidP="00571801">
    <w:pPr>
      <w:pStyle w:val="Footer"/>
    </w:pPr>
    <w:r>
      <w:t>All data sources can be found here: WSHealthAlliance.NSW.gov.au/health-snapshots/</w:t>
    </w:r>
  </w:p>
  <w:p w14:paraId="184B5EA9" w14:textId="77777777" w:rsidR="00A46FA9" w:rsidRDefault="00A46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D52F0" w14:textId="77777777" w:rsidR="00325027" w:rsidRDefault="00325027" w:rsidP="00E67679">
      <w:pPr>
        <w:spacing w:after="0" w:line="240" w:lineRule="auto"/>
      </w:pPr>
      <w:r>
        <w:separator/>
      </w:r>
    </w:p>
  </w:footnote>
  <w:footnote w:type="continuationSeparator" w:id="0">
    <w:p w14:paraId="16C0FF87" w14:textId="77777777" w:rsidR="00325027" w:rsidRDefault="00325027" w:rsidP="00E67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F28B" w14:textId="1873F136" w:rsidR="00E67679" w:rsidRDefault="00E67679">
    <w:pPr>
      <w:pStyle w:val="Header"/>
    </w:pPr>
    <w:r>
      <w:rPr>
        <w:noProof/>
      </w:rPr>
      <w:drawing>
        <wp:anchor distT="0" distB="0" distL="114300" distR="114300" simplePos="0" relativeHeight="251659264" behindDoc="1" locked="0" layoutInCell="1" allowOverlap="1" wp14:anchorId="32F97265" wp14:editId="213B0D4D">
          <wp:simplePos x="0" y="0"/>
          <wp:positionH relativeFrom="column">
            <wp:posOffset>4657725</wp:posOffset>
          </wp:positionH>
          <wp:positionV relativeFrom="paragraph">
            <wp:posOffset>-325755</wp:posOffset>
          </wp:positionV>
          <wp:extent cx="2362200" cy="360680"/>
          <wp:effectExtent l="0" t="0" r="0" b="1270"/>
          <wp:wrapTight wrapText="bothSides">
            <wp:wrapPolygon edited="0">
              <wp:start x="0" y="0"/>
              <wp:lineTo x="0" y="20535"/>
              <wp:lineTo x="21426" y="20535"/>
              <wp:lineTo x="21426" y="0"/>
              <wp:lineTo x="0" y="0"/>
            </wp:wrapPolygon>
          </wp:wrapTight>
          <wp:docPr id="59073297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32975" name="Picture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360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50B"/>
    <w:rsid w:val="001570EB"/>
    <w:rsid w:val="0016550B"/>
    <w:rsid w:val="0023299C"/>
    <w:rsid w:val="00325027"/>
    <w:rsid w:val="003C1859"/>
    <w:rsid w:val="003E4F61"/>
    <w:rsid w:val="00571801"/>
    <w:rsid w:val="005C6E07"/>
    <w:rsid w:val="005D50B8"/>
    <w:rsid w:val="007709CF"/>
    <w:rsid w:val="008E6DD2"/>
    <w:rsid w:val="00984A46"/>
    <w:rsid w:val="00A206E1"/>
    <w:rsid w:val="00A46FA9"/>
    <w:rsid w:val="00AB7632"/>
    <w:rsid w:val="00CC3205"/>
    <w:rsid w:val="00E67679"/>
    <w:rsid w:val="00F67E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1CFC"/>
  <w15:chartTrackingRefBased/>
  <w15:docId w15:val="{A18080E0-2469-4A8B-95D4-9500582D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679"/>
  </w:style>
  <w:style w:type="paragraph" w:styleId="Heading1">
    <w:name w:val="heading 1"/>
    <w:basedOn w:val="Normal"/>
    <w:next w:val="Normal"/>
    <w:link w:val="Heading1Char"/>
    <w:uiPriority w:val="9"/>
    <w:qFormat/>
    <w:rsid w:val="00165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5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5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5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5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5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5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50B"/>
    <w:rPr>
      <w:rFonts w:eastAsiaTheme="majorEastAsia" w:cstheme="majorBidi"/>
      <w:color w:val="272727" w:themeColor="text1" w:themeTint="D8"/>
    </w:rPr>
  </w:style>
  <w:style w:type="paragraph" w:styleId="Title">
    <w:name w:val="Title"/>
    <w:basedOn w:val="Normal"/>
    <w:next w:val="Normal"/>
    <w:link w:val="TitleChar"/>
    <w:uiPriority w:val="10"/>
    <w:qFormat/>
    <w:rsid w:val="00165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50B"/>
    <w:pPr>
      <w:spacing w:before="160"/>
      <w:jc w:val="center"/>
    </w:pPr>
    <w:rPr>
      <w:i/>
      <w:iCs/>
      <w:color w:val="404040" w:themeColor="text1" w:themeTint="BF"/>
    </w:rPr>
  </w:style>
  <w:style w:type="character" w:customStyle="1" w:styleId="QuoteChar">
    <w:name w:val="Quote Char"/>
    <w:basedOn w:val="DefaultParagraphFont"/>
    <w:link w:val="Quote"/>
    <w:uiPriority w:val="29"/>
    <w:rsid w:val="0016550B"/>
    <w:rPr>
      <w:i/>
      <w:iCs/>
      <w:color w:val="404040" w:themeColor="text1" w:themeTint="BF"/>
    </w:rPr>
  </w:style>
  <w:style w:type="paragraph" w:styleId="ListParagraph">
    <w:name w:val="List Paragraph"/>
    <w:basedOn w:val="Normal"/>
    <w:uiPriority w:val="34"/>
    <w:qFormat/>
    <w:rsid w:val="0016550B"/>
    <w:pPr>
      <w:ind w:left="720"/>
      <w:contextualSpacing/>
    </w:pPr>
  </w:style>
  <w:style w:type="character" w:styleId="IntenseEmphasis">
    <w:name w:val="Intense Emphasis"/>
    <w:basedOn w:val="DefaultParagraphFont"/>
    <w:uiPriority w:val="21"/>
    <w:qFormat/>
    <w:rsid w:val="0016550B"/>
    <w:rPr>
      <w:i/>
      <w:iCs/>
      <w:color w:val="0F4761" w:themeColor="accent1" w:themeShade="BF"/>
    </w:rPr>
  </w:style>
  <w:style w:type="paragraph" w:styleId="IntenseQuote">
    <w:name w:val="Intense Quote"/>
    <w:basedOn w:val="Normal"/>
    <w:next w:val="Normal"/>
    <w:link w:val="IntenseQuoteChar"/>
    <w:uiPriority w:val="30"/>
    <w:qFormat/>
    <w:rsid w:val="00165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50B"/>
    <w:rPr>
      <w:i/>
      <w:iCs/>
      <w:color w:val="0F4761" w:themeColor="accent1" w:themeShade="BF"/>
    </w:rPr>
  </w:style>
  <w:style w:type="character" w:styleId="IntenseReference">
    <w:name w:val="Intense Reference"/>
    <w:basedOn w:val="DefaultParagraphFont"/>
    <w:uiPriority w:val="32"/>
    <w:qFormat/>
    <w:rsid w:val="0016550B"/>
    <w:rPr>
      <w:b/>
      <w:bCs/>
      <w:smallCaps/>
      <w:color w:val="0F4761" w:themeColor="accent1" w:themeShade="BF"/>
      <w:spacing w:val="5"/>
    </w:rPr>
  </w:style>
  <w:style w:type="paragraph" w:styleId="Header">
    <w:name w:val="header"/>
    <w:basedOn w:val="Normal"/>
    <w:link w:val="HeaderChar"/>
    <w:uiPriority w:val="99"/>
    <w:unhideWhenUsed/>
    <w:rsid w:val="00E676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679"/>
  </w:style>
  <w:style w:type="paragraph" w:styleId="Footer">
    <w:name w:val="footer"/>
    <w:basedOn w:val="Normal"/>
    <w:link w:val="FooterChar"/>
    <w:uiPriority w:val="99"/>
    <w:unhideWhenUsed/>
    <w:rsid w:val="00E67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Gautami Motupally</dc:creator>
  <cp:keywords/>
  <dc:description/>
  <cp:lastModifiedBy>Gautami Motupally</cp:lastModifiedBy>
  <cp:revision>6</cp:revision>
  <dcterms:created xsi:type="dcterms:W3CDTF">2025-02-17T03:17:00Z</dcterms:created>
  <dcterms:modified xsi:type="dcterms:W3CDTF">2025-02-20T00:08:00Z</dcterms:modified>
</cp:coreProperties>
</file>